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B8" w:rsidRPr="009815B8" w:rsidRDefault="009815B8" w:rsidP="00E0147E">
      <w:pPr>
        <w:shd w:val="clear" w:color="auto" w:fill="EFF1F1"/>
        <w:spacing w:after="0" w:line="336" w:lineRule="atLeast"/>
        <w:outlineLvl w:val="0"/>
        <w:rPr>
          <w:rFonts w:ascii="Montserrat" w:eastAsia="Times New Roman" w:hAnsi="Montserrat" w:cs="Times New Roman"/>
          <w:b/>
          <w:bCs/>
          <w:color w:val="000000"/>
          <w:spacing w:val="-6"/>
          <w:kern w:val="36"/>
          <w:sz w:val="33"/>
          <w:szCs w:val="33"/>
          <w:lang w:eastAsia="pt-BR"/>
        </w:rPr>
      </w:pPr>
      <w:r w:rsidRPr="009815B8">
        <w:rPr>
          <w:rFonts w:ascii="Montserrat" w:eastAsia="Times New Roman" w:hAnsi="Montserrat" w:cs="Times New Roman"/>
          <w:b/>
          <w:bCs/>
          <w:color w:val="000000"/>
          <w:spacing w:val="-6"/>
          <w:kern w:val="36"/>
          <w:sz w:val="33"/>
          <w:szCs w:val="33"/>
          <w:lang w:eastAsia="pt-BR"/>
        </w:rPr>
        <w:fldChar w:fldCharType="begin"/>
      </w:r>
      <w:r w:rsidRPr="009815B8">
        <w:rPr>
          <w:rFonts w:ascii="Montserrat" w:eastAsia="Times New Roman" w:hAnsi="Montserrat" w:cs="Times New Roman"/>
          <w:b/>
          <w:bCs/>
          <w:color w:val="000000"/>
          <w:spacing w:val="-6"/>
          <w:kern w:val="36"/>
          <w:sz w:val="33"/>
          <w:szCs w:val="33"/>
          <w:lang w:eastAsia="pt-BR"/>
        </w:rPr>
        <w:instrText xml:space="preserve"> HYPERLINK "https://www.crmvma.org.br/resolucao-crmv-ma-no-03-de-29-de-janeiro-de-2021/" </w:instrText>
      </w:r>
      <w:r w:rsidRPr="009815B8">
        <w:rPr>
          <w:rFonts w:ascii="Montserrat" w:eastAsia="Times New Roman" w:hAnsi="Montserrat" w:cs="Times New Roman"/>
          <w:b/>
          <w:bCs/>
          <w:color w:val="000000"/>
          <w:spacing w:val="-6"/>
          <w:kern w:val="36"/>
          <w:sz w:val="33"/>
          <w:szCs w:val="33"/>
          <w:lang w:eastAsia="pt-BR"/>
        </w:rPr>
        <w:fldChar w:fldCharType="separate"/>
      </w:r>
      <w:r w:rsidRPr="009815B8">
        <w:rPr>
          <w:rFonts w:ascii="Montserrat" w:eastAsia="Times New Roman" w:hAnsi="Montserrat" w:cs="Times New Roman"/>
          <w:b/>
          <w:bCs/>
          <w:color w:val="000000"/>
          <w:spacing w:val="-6"/>
          <w:kern w:val="36"/>
          <w:sz w:val="33"/>
          <w:szCs w:val="33"/>
          <w:u w:val="single"/>
          <w:bdr w:val="none" w:sz="0" w:space="0" w:color="auto" w:frame="1"/>
          <w:lang w:eastAsia="pt-BR"/>
        </w:rPr>
        <w:t>Resolução CRMV/MA Nº 03, de 29 de janeiro de 2021</w:t>
      </w:r>
      <w:proofErr w:type="gramStart"/>
      <w:r w:rsidRPr="009815B8">
        <w:rPr>
          <w:rFonts w:ascii="Montserrat" w:eastAsia="Times New Roman" w:hAnsi="Montserrat" w:cs="Times New Roman"/>
          <w:b/>
          <w:bCs/>
          <w:color w:val="000000"/>
          <w:spacing w:val="-6"/>
          <w:kern w:val="36"/>
          <w:sz w:val="33"/>
          <w:szCs w:val="33"/>
          <w:lang w:eastAsia="pt-BR"/>
        </w:rPr>
        <w:fldChar w:fldCharType="end"/>
      </w:r>
      <w:proofErr w:type="gramEnd"/>
    </w:p>
    <w:p w:rsidR="009815B8" w:rsidRPr="009815B8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  <w:r w:rsidRPr="009815B8">
        <w:rPr>
          <w:rFonts w:ascii="Montserrat" w:eastAsia="Times New Roman" w:hAnsi="Montserrat" w:cs="Times New Roman"/>
          <w:i/>
          <w:iCs/>
          <w:color w:val="666666"/>
          <w:sz w:val="24"/>
          <w:szCs w:val="24"/>
          <w:lang w:eastAsia="pt-BR"/>
        </w:rPr>
        <w:t>Dispõe sobre os prazos para Anotação de Responsabilidade Técnica – ART para Eventos Pecuários e/ou Esportivos, e dá outras providências.</w:t>
      </w:r>
    </w:p>
    <w:p w:rsidR="009815B8" w:rsidRDefault="009815B8" w:rsidP="00E0147E">
      <w:pPr>
        <w:shd w:val="clear" w:color="auto" w:fill="EFF1F1"/>
        <w:spacing w:after="0" w:line="240" w:lineRule="auto"/>
        <w:ind w:firstLine="708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</w:p>
    <w:p w:rsidR="009815B8" w:rsidRPr="009815B8" w:rsidRDefault="009815B8" w:rsidP="00E0147E">
      <w:pPr>
        <w:shd w:val="clear" w:color="auto" w:fill="EFF1F1"/>
        <w:spacing w:after="0" w:line="240" w:lineRule="auto"/>
        <w:ind w:firstLine="708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O Conselho Regional de Medicina Veterinária do Estado do Maranhão – CRMV/MA, no uso da atribuição que lhe confere a alínea “r” do artigo 4º do Regimento Interno baixado pela Resolução nº 591, de 26 de junho de 1992, do Conselho Federal de Medicina Veterinária – CFMV;</w:t>
      </w: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</w:r>
      <w:r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 xml:space="preserve">            </w:t>
      </w: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Considerando a autonomia administrativa e financeira prevista no art. 10 da Lei 5.517, de 23 de outubro de 1968;</w:t>
      </w: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</w:r>
      <w:r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 xml:space="preserve">            </w:t>
      </w: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Considerando que os Conselhos Regionais de Medicina Veterinária servirão de órgão de consulta dos governos da União, dos Estados, dos Municípios e dos Territórios, em todos os assuntos relativos à profissão de médico-veterinário ou ligados, direta ou indiretamente, à produção ou à indústria animal, conforme previsão do art. 9º, caput, da Lei 5.517/68;</w:t>
      </w: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</w:r>
      <w:r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 xml:space="preserve">            </w:t>
      </w: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Considerando que é dever do Responsável Técnico – RT, previsto na Resolução CFMV nº 1.138 de 16 de dezembro de 2016, responder, integralmente e na data aprazada, os relatórios de responsabilidades técnicas solicitados pelo CFMV/</w:t>
      </w:r>
      <w:proofErr w:type="spellStart"/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CRMV´s</w:t>
      </w:r>
      <w:proofErr w:type="spellEnd"/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;</w:t>
      </w: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  <w:t>Considerando as prerrogativas dos Conselhos Regionais de Medicina Veterinária de regularem, complementarmente, normas do Conselho Federal de Medicina Veterinária, sempre que necessário e em face de suas características de regionalidade;</w:t>
      </w: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</w:r>
      <w:r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 xml:space="preserve">             </w:t>
      </w: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Considerando a necessidade de disciplinar os prazos para solicitação de Anotação de Responsabilidade Técnica – ART para Eventos Pecuários e/ou Esportivos;</w:t>
      </w: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  <w:t>Considerando, ainda, a aprovação da 392ª Sessão Plenária do CRMV/MA,</w:t>
      </w:r>
    </w:p>
    <w:p w:rsidR="009815B8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b/>
          <w:bCs/>
          <w:color w:val="666666"/>
          <w:sz w:val="24"/>
          <w:szCs w:val="24"/>
          <w:lang w:eastAsia="pt-BR"/>
        </w:rPr>
      </w:pPr>
      <w:r w:rsidRPr="009815B8">
        <w:rPr>
          <w:rFonts w:ascii="Montserrat" w:eastAsia="Times New Roman" w:hAnsi="Montserrat" w:cs="Times New Roman"/>
          <w:b/>
          <w:bCs/>
          <w:color w:val="666666"/>
          <w:sz w:val="24"/>
          <w:szCs w:val="24"/>
          <w:lang w:eastAsia="pt-BR"/>
        </w:rPr>
        <w:t>RESOLVE:</w:t>
      </w:r>
    </w:p>
    <w:p w:rsidR="009815B8" w:rsidRPr="009815B8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</w:p>
    <w:p w:rsidR="009815B8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Art. 1º Fixar o prazo mínimo de 05 (cinco) dias úteis anteriores a data de realização de qualquer Evento Pecuário e/ou Esportivo, para que o interessado solicite formalmente, através de protocolo, a Anotação de Responsabilidade Técnica – ART jun</w:t>
      </w:r>
      <w:bookmarkStart w:id="0" w:name="_GoBack"/>
      <w:bookmarkEnd w:id="0"/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to ao CRMV/MA;</w:t>
      </w:r>
    </w:p>
    <w:p w:rsidR="009815B8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  <w:t xml:space="preserve">Parágrafo único. Considera-se Evento Pecuário e/ou Esportivo qualquer aglomeração temporária de animais de iguais ou distintas espécies e propriedades, com finalidade específica, compreendidos no seguinte rol exemplificativo: </w:t>
      </w:r>
      <w:proofErr w:type="gramStart"/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vaquejadas, rodeios, cavalgadas, provas</w:t>
      </w:r>
      <w:proofErr w:type="gramEnd"/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 xml:space="preserve"> de laço, provas de tambor e baliza, pegas de boi, hipismo, hipódromos, </w:t>
      </w:r>
      <w:proofErr w:type="spellStart"/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ranch</w:t>
      </w:r>
      <w:proofErr w:type="spellEnd"/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 xml:space="preserve"> </w:t>
      </w:r>
      <w:proofErr w:type="spellStart"/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sorting</w:t>
      </w:r>
      <w:proofErr w:type="spellEnd"/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, exposições, concurso leiteiro, concurso de marcha, leilões, feiras agropecuárias e similares.</w:t>
      </w:r>
    </w:p>
    <w:p w:rsidR="009815B8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  <w:t>Art. 2º A observância do prazo fixado no artigo 1º desta Resolução é de total responsabilidade do interessado, de modo que seu descumprimento poderá inviabilizar a homologação da referida Anotação de Responsabilidade Técnica – ART pelo CRMV/MA.</w:t>
      </w:r>
    </w:p>
    <w:p w:rsidR="009815B8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  <w:t xml:space="preserve">Art. 3º O CRMV/MA terá o prazo de </w:t>
      </w:r>
      <w:proofErr w:type="gramStart"/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5</w:t>
      </w:r>
      <w:proofErr w:type="gramEnd"/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 xml:space="preserve"> (cinco) dias úteis para homologação da referida Anotação de Responsabilidade Técnica – ART, contados a partir da comprovação do pagamento da taxa correspondente, se inexistente outras diligências pendências.</w:t>
      </w: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  <w:t>Parágrafo único. Havendo diligências pendentes após o pagamento da taxa, o prazo apontado no caput só fluirá após o seu cumprimento pelo interessado.</w:t>
      </w:r>
    </w:p>
    <w:p w:rsidR="009815B8" w:rsidRPr="009815B8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</w:p>
    <w:p w:rsidR="009815B8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lastRenderedPageBreak/>
        <w:t>Art. 4º O responsável técnico (RT) de Evento Pecuário e/ou Esportivo terá até 10 (dez) dias úteis, contados do término do evento, para apresentar relatório da responsabilidade técnica assumida junto ao CRMV/MA.</w:t>
      </w:r>
    </w:p>
    <w:p w:rsidR="009815B8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  <w:t xml:space="preserve">§1º O relatório deverá ser legível, sem rasuras, estar assinado pelo </w:t>
      </w:r>
      <w:proofErr w:type="gramStart"/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profissional</w:t>
      </w:r>
      <w:proofErr w:type="gramEnd"/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 xml:space="preserve"> </w:t>
      </w:r>
    </w:p>
    <w:p w:rsidR="009815B8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  <w:proofErr w:type="gramStart"/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responsável</w:t>
      </w:r>
      <w:proofErr w:type="gramEnd"/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 xml:space="preserve"> técnico e conter as informações previstas no Anexo I desta Resolução.</w:t>
      </w:r>
    </w:p>
    <w:p w:rsidR="00E0147E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  <w:t>§2º Incorrerá no descumprimento do art. 9º, inciso VI da Resolução CFMV nº 1.138 de 2016, independentemente de outras responsabilidades civis, criminais e administrativas, o responsável técnico que não entregar o relatório ou deixar de atender o §1º deste artigo dentro prazo determinado pelo caput.</w:t>
      </w:r>
    </w:p>
    <w:p w:rsidR="00E0147E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  <w:t>Art. 5º Esta Resolução não exclui o responsável técnico de observar o ordenamento jurídico e as outras Resoluções emanadas pelo CFMV e CRMV/MA que forem cabíveis à espécie, tais como a Resolução CFMV nº 1.138, de 2016 e a Resolução CFMV nº 1.041, de 2013.</w:t>
      </w:r>
    </w:p>
    <w:p w:rsidR="00E0147E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  <w:t>Art. 6º Os prazos desta Resolução serão computados com exclusão do dia de início e cômputo do dia de término.</w:t>
      </w:r>
    </w:p>
    <w:p w:rsidR="00E0147E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  <w:t>Parágrafo único. Ficam prorrogados para o primeiro dia útil seguinte os prazos que se encerrarem no dia em que o CRMV/MA não funcionar.</w:t>
      </w:r>
    </w:p>
    <w:p w:rsidR="009815B8" w:rsidRDefault="009815B8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br/>
        <w:t>Art. 7º Esta Resolução entra em vigor na data de sua publicação e revoga a Resolução CRMV/MA nº 5 de 22 de setembro de 2017.</w:t>
      </w:r>
    </w:p>
    <w:p w:rsidR="00E0147E" w:rsidRPr="009815B8" w:rsidRDefault="00E0147E" w:rsidP="00E0147E">
      <w:pPr>
        <w:shd w:val="clear" w:color="auto" w:fill="EFF1F1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</w:p>
    <w:p w:rsidR="009815B8" w:rsidRPr="009815B8" w:rsidRDefault="009815B8" w:rsidP="00E0147E">
      <w:pPr>
        <w:shd w:val="clear" w:color="auto" w:fill="EFF1F1"/>
        <w:spacing w:after="24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</w:pPr>
      <w:r w:rsidRPr="009815B8">
        <w:rPr>
          <w:rFonts w:ascii="Montserrat" w:eastAsia="Times New Roman" w:hAnsi="Montserrat" w:cs="Times New Roman"/>
          <w:color w:val="666666"/>
          <w:sz w:val="24"/>
          <w:szCs w:val="24"/>
          <w:lang w:eastAsia="pt-BR"/>
        </w:rPr>
        <w:t>São Luís – MA, 29 de janeiro de 2021.</w:t>
      </w:r>
    </w:p>
    <w:p w:rsidR="009815B8" w:rsidRPr="009815B8" w:rsidRDefault="009815B8" w:rsidP="00E0147E">
      <w:pPr>
        <w:shd w:val="clear" w:color="auto" w:fill="EFF1F1"/>
        <w:spacing w:after="0" w:line="336" w:lineRule="atLeast"/>
        <w:outlineLvl w:val="5"/>
        <w:rPr>
          <w:rFonts w:ascii="Montserrat" w:eastAsia="Times New Roman" w:hAnsi="Montserrat" w:cs="Times New Roman"/>
          <w:b/>
          <w:bCs/>
          <w:color w:val="000000"/>
          <w:sz w:val="26"/>
          <w:szCs w:val="26"/>
          <w:lang w:eastAsia="pt-BR"/>
        </w:rPr>
      </w:pPr>
      <w:r w:rsidRPr="009815B8">
        <w:rPr>
          <w:rFonts w:ascii="Montserrat" w:eastAsia="Times New Roman" w:hAnsi="Montserrat" w:cs="Times New Roman"/>
          <w:b/>
          <w:bCs/>
          <w:color w:val="000000"/>
          <w:sz w:val="26"/>
          <w:szCs w:val="26"/>
          <w:lang w:eastAsia="pt-BR"/>
        </w:rPr>
        <w:t>Med. Vet. Francisca Neide Costa</w:t>
      </w:r>
      <w:r w:rsidRPr="009815B8">
        <w:rPr>
          <w:rFonts w:ascii="Montserrat" w:eastAsia="Times New Roman" w:hAnsi="Montserrat" w:cs="Times New Roman"/>
          <w:b/>
          <w:bCs/>
          <w:color w:val="000000"/>
          <w:sz w:val="26"/>
          <w:szCs w:val="26"/>
          <w:lang w:eastAsia="pt-BR"/>
        </w:rPr>
        <w:br/>
        <w:t>Presidente do CRMV – MA</w:t>
      </w:r>
      <w:r w:rsidRPr="009815B8">
        <w:rPr>
          <w:rFonts w:ascii="Montserrat" w:eastAsia="Times New Roman" w:hAnsi="Montserrat" w:cs="Times New Roman"/>
          <w:b/>
          <w:bCs/>
          <w:color w:val="000000"/>
          <w:sz w:val="26"/>
          <w:szCs w:val="26"/>
          <w:lang w:eastAsia="pt-BR"/>
        </w:rPr>
        <w:br/>
        <w:t>CRMV – MA nº 0539</w:t>
      </w:r>
    </w:p>
    <w:p w:rsidR="009815B8" w:rsidRPr="009815B8" w:rsidRDefault="009815B8" w:rsidP="00E0147E">
      <w:pPr>
        <w:shd w:val="clear" w:color="auto" w:fill="EFF1F1"/>
        <w:spacing w:after="72" w:line="336" w:lineRule="atLeast"/>
        <w:outlineLvl w:val="5"/>
        <w:rPr>
          <w:rFonts w:ascii="Montserrat" w:eastAsia="Times New Roman" w:hAnsi="Montserrat" w:cs="Times New Roman"/>
          <w:b/>
          <w:bCs/>
          <w:color w:val="000000"/>
          <w:sz w:val="26"/>
          <w:szCs w:val="26"/>
          <w:lang w:eastAsia="pt-BR"/>
        </w:rPr>
      </w:pPr>
      <w:r w:rsidRPr="009815B8">
        <w:rPr>
          <w:rFonts w:ascii="Montserrat" w:eastAsia="Times New Roman" w:hAnsi="Montserrat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9815B8" w:rsidRPr="009815B8" w:rsidRDefault="009815B8" w:rsidP="00E0147E">
      <w:pPr>
        <w:shd w:val="clear" w:color="auto" w:fill="EFF1F1"/>
        <w:spacing w:after="0" w:line="336" w:lineRule="atLeast"/>
        <w:outlineLvl w:val="5"/>
        <w:rPr>
          <w:rFonts w:ascii="Montserrat" w:eastAsia="Times New Roman" w:hAnsi="Montserrat" w:cs="Times New Roman"/>
          <w:b/>
          <w:bCs/>
          <w:color w:val="000000"/>
          <w:sz w:val="26"/>
          <w:szCs w:val="26"/>
          <w:lang w:eastAsia="pt-BR"/>
        </w:rPr>
      </w:pPr>
      <w:r w:rsidRPr="009815B8">
        <w:rPr>
          <w:rFonts w:ascii="Montserrat" w:eastAsia="Times New Roman" w:hAnsi="Montserrat" w:cs="Times New Roman"/>
          <w:b/>
          <w:bCs/>
          <w:color w:val="000000"/>
          <w:sz w:val="26"/>
          <w:szCs w:val="26"/>
          <w:lang w:eastAsia="pt-BR"/>
        </w:rPr>
        <w:t>Med. Vet. Ana Fabíola L. F. da Silva</w:t>
      </w:r>
      <w:r w:rsidRPr="009815B8">
        <w:rPr>
          <w:rFonts w:ascii="Montserrat" w:eastAsia="Times New Roman" w:hAnsi="Montserrat" w:cs="Times New Roman"/>
          <w:b/>
          <w:bCs/>
          <w:color w:val="000000"/>
          <w:sz w:val="26"/>
          <w:szCs w:val="26"/>
          <w:lang w:eastAsia="pt-BR"/>
        </w:rPr>
        <w:br/>
        <w:t> CRMV – MA nº 0912</w:t>
      </w:r>
      <w:r w:rsidRPr="009815B8">
        <w:rPr>
          <w:rFonts w:ascii="Montserrat" w:eastAsia="Times New Roman" w:hAnsi="Montserrat" w:cs="Times New Roman"/>
          <w:b/>
          <w:bCs/>
          <w:color w:val="000000"/>
          <w:sz w:val="26"/>
          <w:szCs w:val="26"/>
          <w:lang w:eastAsia="pt-BR"/>
        </w:rPr>
        <w:br/>
        <w:t>Secretária-Geral do CRMV – MA</w:t>
      </w:r>
    </w:p>
    <w:p w:rsidR="00E0147E" w:rsidRDefault="00E0147E" w:rsidP="00E0147E"/>
    <w:sectPr w:rsidR="00E01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91"/>
    <w:rsid w:val="00045344"/>
    <w:rsid w:val="001D021B"/>
    <w:rsid w:val="002E1002"/>
    <w:rsid w:val="005C6FBD"/>
    <w:rsid w:val="00793BA7"/>
    <w:rsid w:val="009815B8"/>
    <w:rsid w:val="009B3C3E"/>
    <w:rsid w:val="00BD362F"/>
    <w:rsid w:val="00C001A8"/>
    <w:rsid w:val="00CA3FEE"/>
    <w:rsid w:val="00E0147E"/>
    <w:rsid w:val="00E506CF"/>
    <w:rsid w:val="00F121B2"/>
    <w:rsid w:val="00F30DEA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81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9815B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15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815B8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815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815B8"/>
    <w:rPr>
      <w:i/>
      <w:iCs/>
    </w:rPr>
  </w:style>
  <w:style w:type="character" w:styleId="Forte">
    <w:name w:val="Strong"/>
    <w:basedOn w:val="Fontepargpadro"/>
    <w:uiPriority w:val="22"/>
    <w:qFormat/>
    <w:rsid w:val="009815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81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9815B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15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815B8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815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815B8"/>
    <w:rPr>
      <w:i/>
      <w:iCs/>
    </w:rPr>
  </w:style>
  <w:style w:type="character" w:styleId="Forte">
    <w:name w:val="Strong"/>
    <w:basedOn w:val="Fontepargpadro"/>
    <w:uiPriority w:val="22"/>
    <w:qFormat/>
    <w:rsid w:val="00981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3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Lemos Vargens</dc:creator>
  <cp:keywords/>
  <dc:description/>
  <cp:lastModifiedBy>Michelle Lemos Vargens</cp:lastModifiedBy>
  <cp:revision>2</cp:revision>
  <dcterms:created xsi:type="dcterms:W3CDTF">2023-04-18T13:33:00Z</dcterms:created>
  <dcterms:modified xsi:type="dcterms:W3CDTF">2023-04-18T13:36:00Z</dcterms:modified>
</cp:coreProperties>
</file>